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0" w:lineRule="auto"/>
        <w:rPr/>
      </w:pPr>
      <w:r w:rsidDel="00000000" w:rsidR="00000000" w:rsidRPr="00000000">
        <w:rPr>
          <w:rtl w:val="0"/>
        </w:rPr>
        <w:t xml:space="preserve">Rationale: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The school will provide quality education which meets individual needs and offers opportunities for all students.</w:t>
      </w:r>
    </w:p>
    <w:p w:rsidR="00000000" w:rsidDel="00000000" w:rsidP="00000000" w:rsidRDefault="00000000" w:rsidRPr="00000000" w14:paraId="00000005">
      <w:pPr>
        <w:pStyle w:val="Heading3"/>
        <w:spacing w:after="0" w:before="200" w:lineRule="auto"/>
        <w:rPr/>
      </w:pPr>
      <w:r w:rsidDel="00000000" w:rsidR="00000000" w:rsidRPr="00000000">
        <w:rPr>
          <w:rtl w:val="0"/>
        </w:rPr>
        <w:t xml:space="preserve">Purpose: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To develop and maintain a programme of learning and progression that will enable each student to leave WBHS with the knowledge, qualifications and skills for successful transition to the workforce, further education or training. </w:t>
      </w:r>
    </w:p>
    <w:p w:rsidR="00000000" w:rsidDel="00000000" w:rsidP="00000000" w:rsidRDefault="00000000" w:rsidRPr="00000000" w14:paraId="00000007">
      <w:pPr>
        <w:pStyle w:val="Heading3"/>
        <w:spacing w:after="0" w:before="200" w:lineRule="auto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Definitions:</w:t>
      </w:r>
    </w:p>
    <w:p w:rsidR="00000000" w:rsidDel="00000000" w:rsidP="00000000" w:rsidRDefault="00000000" w:rsidRPr="00000000" w14:paraId="00000008">
      <w:pPr>
        <w:ind w:firstLine="567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NCEA </w:t>
      </w:r>
      <w:r w:rsidDel="00000000" w:rsidR="00000000" w:rsidRPr="00000000">
        <w:rPr>
          <w:rtl w:val="0"/>
        </w:rPr>
        <w:t xml:space="preserve">means National Certificate of Educational Achievement.</w:t>
      </w:r>
      <w:r w:rsidDel="00000000" w:rsidR="00000000" w:rsidRPr="00000000">
        <w:rPr>
          <w:i w:val="1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ind w:firstLine="567"/>
        <w:jc w:val="both"/>
        <w:rPr/>
      </w:pPr>
      <w:r w:rsidDel="00000000" w:rsidR="00000000" w:rsidRPr="00000000">
        <w:rPr>
          <w:i w:val="1"/>
          <w:rtl w:val="0"/>
        </w:rPr>
        <w:t xml:space="preserve">Level 1, Level 2 and Level 3</w:t>
      </w:r>
      <w:r w:rsidDel="00000000" w:rsidR="00000000" w:rsidRPr="00000000">
        <w:rPr>
          <w:rtl w:val="0"/>
        </w:rPr>
        <w:t xml:space="preserve"> refer to NCEA levels.</w:t>
      </w:r>
    </w:p>
    <w:p w:rsidR="00000000" w:rsidDel="00000000" w:rsidP="00000000" w:rsidRDefault="00000000" w:rsidRPr="00000000" w14:paraId="0000000A">
      <w:pPr>
        <w:ind w:firstLine="567"/>
        <w:rPr/>
      </w:pPr>
      <w:r w:rsidDel="00000000" w:rsidR="00000000" w:rsidRPr="00000000">
        <w:rPr>
          <w:i w:val="1"/>
          <w:color w:val="000000"/>
          <w:rtl w:val="0"/>
        </w:rPr>
        <w:t xml:space="preserve">Cohort </w:t>
      </w:r>
      <w:r w:rsidDel="00000000" w:rsidR="00000000" w:rsidRPr="00000000">
        <w:rPr>
          <w:color w:val="000000"/>
          <w:rtl w:val="0"/>
        </w:rPr>
        <w:t xml:space="preserve">means all students of the same year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after="0" w:before="200" w:lineRule="auto"/>
        <w:rPr/>
      </w:pPr>
      <w:r w:rsidDel="00000000" w:rsidR="00000000" w:rsidRPr="00000000">
        <w:rPr>
          <w:rtl w:val="0"/>
        </w:rPr>
        <w:t xml:space="preserve">Scope:</w:t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This policy applies to all students.</w:t>
      </w:r>
    </w:p>
    <w:p w:rsidR="00000000" w:rsidDel="00000000" w:rsidP="00000000" w:rsidRDefault="00000000" w:rsidRPr="00000000" w14:paraId="0000000D">
      <w:pPr>
        <w:pStyle w:val="Heading3"/>
        <w:spacing w:after="0" w:lineRule="auto"/>
        <w:rPr/>
      </w:pPr>
      <w:r w:rsidDel="00000000" w:rsidR="00000000" w:rsidRPr="00000000">
        <w:rPr>
          <w:rtl w:val="0"/>
        </w:rPr>
        <w:t xml:space="preserve">Guidelines: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992" w:hanging="425"/>
        <w:jc w:val="both"/>
        <w:rPr/>
      </w:pPr>
      <w:bookmarkStart w:colFirst="0" w:colLast="0" w:name="_heading=h.2et92p0" w:id="4"/>
      <w:bookmarkEnd w:id="4"/>
      <w:r w:rsidDel="00000000" w:rsidR="00000000" w:rsidRPr="00000000">
        <w:rPr>
          <w:color w:val="000000"/>
          <w:rtl w:val="0"/>
        </w:rPr>
        <w:t xml:space="preserve">Programmes will: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34" w:hanging="35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 success orientated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Secure high retention rates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Ensure students succeed at their individual levels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9"/>
          <w:tab w:val="left" w:leader="none" w:pos="1418"/>
          <w:tab w:val="left" w:leader="none" w:pos="1985"/>
        </w:tabs>
        <w:spacing w:after="0" w:line="240" w:lineRule="auto"/>
        <w:ind w:left="141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Aim to ensure each student achieves a minimum of NCEA Level 2 before leaving school.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992" w:hanging="42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Junior classes will be mixed ability. Whe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color w:val="000000"/>
          <w:rtl w:val="0"/>
        </w:rPr>
        <w:t xml:space="preserve"> appropriate supported learning classes will be in place at Year 9 and 10.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992" w:hanging="42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Progression through NCEA Level 1 to 3 will be determined by academic results and at the discretion of school leadership.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992" w:hanging="42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Class teachers will provide a course of study appropriate for each class (as directed by the HoF/HoD/TiC.)</w:t>
      </w:r>
    </w:p>
    <w:p w:rsidR="00000000" w:rsidDel="00000000" w:rsidP="00000000" w:rsidRDefault="00000000" w:rsidRPr="00000000" w14:paraId="00000016">
      <w:pPr>
        <w:pStyle w:val="Heading3"/>
        <w:spacing w:after="0" w:before="200" w:lineRule="auto"/>
        <w:rPr/>
      </w:pPr>
      <w:r w:rsidDel="00000000" w:rsidR="00000000" w:rsidRPr="00000000">
        <w:rPr>
          <w:rtl w:val="0"/>
        </w:rPr>
        <w:t xml:space="preserve">Related Policies: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992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Assessment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992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Curriculum</w:t>
      </w:r>
    </w:p>
    <w:p w:rsidR="00000000" w:rsidDel="00000000" w:rsidP="00000000" w:rsidRDefault="00000000" w:rsidRPr="00000000" w14:paraId="00000019">
      <w:pPr>
        <w:pStyle w:val="Heading3"/>
        <w:spacing w:after="0" w:before="200" w:lineRule="auto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References or Sources:</w:t>
      </w:r>
    </w:p>
    <w:p w:rsidR="00000000" w:rsidDel="00000000" w:rsidP="00000000" w:rsidRDefault="00000000" w:rsidRPr="00000000" w14:paraId="0000001A">
      <w:pPr>
        <w:pStyle w:val="Heading3"/>
        <w:numPr>
          <w:ilvl w:val="0"/>
          <w:numId w:val="4"/>
        </w:numPr>
        <w:spacing w:after="0" w:before="200" w:lineRule="auto"/>
        <w:ind w:left="720" w:hanging="360"/>
        <w:rPr>
          <w:rFonts w:ascii="Montserrat" w:cs="Montserrat" w:eastAsia="Montserrat" w:hAnsi="Montserrat"/>
          <w:color w:val="000000"/>
          <w:sz w:val="20"/>
          <w:szCs w:val="20"/>
        </w:rPr>
      </w:pPr>
      <w:bookmarkStart w:colFirst="0" w:colLast="0" w:name="_heading=h.3dy6vkm" w:id="6"/>
      <w:bookmarkEnd w:id="6"/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Education and Training Act 2020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 Education and Learning Priorities (NELP)</w:t>
      </w:r>
    </w:p>
    <w:p w:rsidR="00000000" w:rsidDel="00000000" w:rsidP="00000000" w:rsidRDefault="00000000" w:rsidRPr="00000000" w14:paraId="0000001C">
      <w:pPr>
        <w:pStyle w:val="Heading3"/>
        <w:spacing w:after="0"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spacing w:after="0" w:before="200" w:lineRule="auto"/>
        <w:rPr/>
      </w:pPr>
      <w:r w:rsidDel="00000000" w:rsidR="00000000" w:rsidRPr="00000000">
        <w:rPr>
          <w:rtl w:val="0"/>
        </w:rPr>
        <w:t xml:space="preserve">Review Details:</w:t>
      </w:r>
    </w:p>
    <w:tbl>
      <w:tblPr>
        <w:tblStyle w:val="Table1"/>
        <w:tblW w:w="518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3134"/>
        <w:tblGridChange w:id="0">
          <w:tblGrid>
            <w:gridCol w:w="2055"/>
            <w:gridCol w:w="3134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Reviewed by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Apr 2024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Review cycle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Due date for Review: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Apr 2025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Style w:val="Heading3"/>
        <w:spacing w:after="0" w:before="200" w:lineRule="auto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spacing w:after="0" w:before="200" w:lineRule="auto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Management Contact: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Principal</w:t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431" w:top="431" w:left="1079" w:right="11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T Serif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Style w:val="Heading5"/>
      <w:rPr>
        <w:rFonts w:ascii="PT Serif" w:cs="PT Serif" w:eastAsia="PT Serif" w:hAnsi="PT Serif"/>
        <w:color w:val="009cde"/>
        <w:sz w:val="18"/>
        <w:szCs w:val="18"/>
      </w:rPr>
    </w:pPr>
    <w:bookmarkStart w:colFirst="0" w:colLast="0" w:name="_heading=h.2s8eyo1" w:id="9"/>
    <w:bookmarkEnd w:id="9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Style w:val="Heading5"/>
      <w:rPr>
        <w:rFonts w:ascii="PT Serif" w:cs="PT Serif" w:eastAsia="PT Serif" w:hAnsi="PT Serif"/>
        <w:color w:val="b7b7b7"/>
        <w:sz w:val="18"/>
        <w:szCs w:val="18"/>
      </w:rPr>
    </w:pPr>
    <w:bookmarkStart w:colFirst="0" w:colLast="0" w:name="_heading=h.17dp8vu" w:id="10"/>
    <w:bookmarkEnd w:id="10"/>
    <w:r w:rsidDel="00000000" w:rsidR="00000000" w:rsidRPr="00000000">
      <w:rPr>
        <w:rFonts w:ascii="PT Serif" w:cs="PT Serif" w:eastAsia="PT Serif" w:hAnsi="PT Serif"/>
        <w:color w:val="009cde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T Serif" w:cs="PT Serif" w:eastAsia="PT Serif" w:hAnsi="PT Serif"/>
        <w:color w:val="009cde"/>
        <w:sz w:val="18"/>
        <w:szCs w:val="18"/>
        <w:rtl w:val="0"/>
      </w:rPr>
      <w:tab/>
    </w:r>
    <w:r w:rsidDel="00000000" w:rsidR="00000000" w:rsidRPr="00000000">
      <w:rPr>
        <w:color w:val="b7b7b7"/>
        <w:sz w:val="18"/>
        <w:szCs w:val="18"/>
        <w:rtl w:val="0"/>
      </w:rPr>
      <w:t xml:space="preserve">Student Progression Framework                                                                                                WBHS POLICIES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Rule="auto"/>
      <w:rPr/>
    </w:pPr>
    <w:r w:rsidDel="00000000" w:rsidR="00000000" w:rsidRPr="00000000">
      <w:rPr/>
      <w:drawing>
        <wp:inline distB="0" distT="0" distL="0" distR="0">
          <wp:extent cx="2121218" cy="801349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1218" cy="8013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32"/>
        <w:szCs w:val="32"/>
        <w:rtl w:val="0"/>
      </w:rPr>
      <w:t xml:space="preserve">APPOINTMENTS - STAFF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Rule="auto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STUDENT PROGRESSION FRAMEWORK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-56510</wp:posOffset>
          </wp:positionH>
          <wp:positionV relativeFrom="paragraph">
            <wp:posOffset>0</wp:posOffset>
          </wp:positionV>
          <wp:extent cx="2120900" cy="800735"/>
          <wp:effectExtent b="0" l="0" r="0" t="0"/>
          <wp:wrapTopAndBottom distB="0" dist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0900" cy="8007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92" w:hanging="425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992" w:hanging="42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009cde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Montserrat SemiBold" w:cs="Montserrat SemiBold" w:eastAsia="Montserrat SemiBold" w:hAnsi="Montserrat SemiBol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lineRule="auto"/>
    </w:pPr>
    <w:rPr>
      <w:rFonts w:ascii="PT Serif" w:cs="PT Serif" w:eastAsia="PT Serif" w:hAnsi="PT Serif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64"/>
      <w:szCs w:val="6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009cde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Montserrat SemiBold" w:cs="Montserrat SemiBold" w:eastAsia="Montserrat SemiBold" w:hAnsi="Montserrat SemiBol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lineRule="auto"/>
    </w:pPr>
    <w:rPr>
      <w:rFonts w:ascii="PT Serif" w:cs="PT Serif" w:eastAsia="PT Serif" w:hAnsi="PT Serif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64"/>
      <w:szCs w:val="64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outlineLvl w:val="1"/>
    </w:pPr>
    <w:rPr>
      <w:b w:val="1"/>
      <w:color w:val="009cde"/>
      <w:sz w:val="28"/>
      <w:szCs w:val="28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outlineLvl w:val="2"/>
    </w:pPr>
    <w:rPr>
      <w:rFonts w:ascii="Montserrat SemiBold" w:cs="Montserrat SemiBold" w:eastAsia="Montserrat SemiBold" w:hAnsi="Montserrat SemiBold"/>
      <w:sz w:val="24"/>
      <w:szCs w:val="24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80"/>
      <w:outlineLvl w:val="3"/>
    </w:pPr>
    <w:rPr>
      <w:rFonts w:ascii="PT Serif" w:cs="PT Serif" w:eastAsia="PT Serif" w:hAnsi="PT Serif"/>
      <w:sz w:val="28"/>
      <w:szCs w:val="28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64"/>
      <w:szCs w:val="6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</w:pPr>
    <w:rPr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link w:val="ListParagraphChar"/>
    <w:uiPriority w:val="34"/>
    <w:qFormat w:val="1"/>
    <w:rsid w:val="0029172F"/>
    <w:pPr>
      <w:spacing w:after="60" w:line="240" w:lineRule="auto"/>
      <w:ind w:left="720"/>
      <w:contextualSpacing w:val="1"/>
    </w:pPr>
    <w:rPr>
      <w:rFonts w:ascii="Arial" w:cs="Times New Roman" w:eastAsia="Times New Roman" w:hAnsi="Arial"/>
      <w:lang w:val="en-NZ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29172F"/>
    <w:rPr>
      <w:rFonts w:ascii="Arial" w:cs="Times New Roman" w:eastAsia="Times New Roman" w:hAnsi="Arial"/>
      <w:lang w:eastAsia="en-NZ" w:val="en-NZ"/>
    </w:rPr>
  </w:style>
  <w:style w:type="paragraph" w:styleId="PolicyList" w:customStyle="1">
    <w:name w:val="Policy List"/>
    <w:basedOn w:val="ListParagraph"/>
    <w:link w:val="PolicyListChar"/>
    <w:qFormat w:val="1"/>
    <w:rsid w:val="0029172F"/>
    <w:pPr>
      <w:numPr>
        <w:numId w:val="6"/>
      </w:numPr>
      <w:spacing w:after="120"/>
      <w:contextualSpacing w:val="0"/>
    </w:pPr>
  </w:style>
  <w:style w:type="character" w:styleId="BookTitle">
    <w:name w:val="Book Title"/>
    <w:aliases w:val="Policy Structured List"/>
    <w:basedOn w:val="DefaultParagraphFont"/>
    <w:uiPriority w:val="33"/>
    <w:qFormat w:val="1"/>
    <w:rsid w:val="0029172F"/>
    <w:rPr>
      <w:rFonts w:ascii="Arial" w:hAnsi="Arial"/>
      <w:bCs w:val="1"/>
      <w:spacing w:val="0"/>
      <w:sz w:val="20"/>
    </w:rPr>
  </w:style>
  <w:style w:type="character" w:styleId="PolicyListChar" w:customStyle="1">
    <w:name w:val="Policy List Char"/>
    <w:basedOn w:val="ListParagraphChar"/>
    <w:link w:val="PolicyList"/>
    <w:rsid w:val="0029172F"/>
    <w:rPr>
      <w:rFonts w:ascii="Arial" w:cs="Times New Roman" w:eastAsia="Times New Roman" w:hAnsi="Arial"/>
      <w:lang w:eastAsia="en-NZ" w:val="en-NZ"/>
    </w:rPr>
  </w:style>
  <w:style w:type="character" w:styleId="Hyperlink">
    <w:name w:val="Hyperlink"/>
    <w:basedOn w:val="DefaultParagraphFont"/>
    <w:uiPriority w:val="99"/>
    <w:unhideWhenUsed w:val="1"/>
    <w:rsid w:val="002917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2917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172F"/>
  </w:style>
  <w:style w:type="paragraph" w:styleId="Footer">
    <w:name w:val="footer"/>
    <w:basedOn w:val="Normal"/>
    <w:link w:val="FooterChar"/>
    <w:uiPriority w:val="99"/>
    <w:unhideWhenUsed w:val="1"/>
    <w:rsid w:val="002917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172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B516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B516D"/>
    <w:rPr>
      <w:rFonts w:ascii="Segoe UI" w:cs="Segoe UI" w:hAnsi="Segoe UI"/>
      <w:sz w:val="18"/>
      <w:szCs w:val="18"/>
    </w:r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</w:pPr>
    <w:rPr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</w:pPr>
    <w:rPr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PTSerif-italic.ttf"/><Relationship Id="rId10" Type="http://schemas.openxmlformats.org/officeDocument/2006/relationships/font" Target="fonts/PTSerif-bold.ttf"/><Relationship Id="rId12" Type="http://schemas.openxmlformats.org/officeDocument/2006/relationships/font" Target="fonts/PTSerif-boldItalic.ttf"/><Relationship Id="rId9" Type="http://schemas.openxmlformats.org/officeDocument/2006/relationships/font" Target="fonts/PTSerif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oZn1TC8EZr7bge9n4rX+WCmzRw==">CgMxLjAyCGguZ2pkZ3hzMgloLjMwajB6bGwyCWguMWZvYjl0ZTIJaC4zem55c2g3MgloLjJldDkycDAyCGgudHlqY3d0MgloLjNkeTZ2a20yCWguMXQzaDVzZjIJaC40ZDM0b2c4MgloLjJzOGV5bzEyCWguMTdkcDh2dTgAaigKFHN1Z2dlc3QudjlvOGR6aDR2eXc2EhBGcmFuY2VzIFNlbWVub2ZmaigKFHN1Z2dlc3QuYzIzeHhuazRraDhzEhBGcmFuY2VzIFNlbWVub2ZmciExUWVlTm9PRU05SEptTUpTaVNuSWJCRkxYT3pEU085a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2022-02-25T00:21:00Z</dcterms:created>
  <dc:creator>Frances Semenoff</dc:creator>
</cp:coreProperties>
</file>